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9636</w:t>
        <w:t xml:space="preserve">.  </w:t>
      </w:r>
      <w:r>
        <w:rPr>
          <w:b/>
        </w:rPr>
        <w:t xml:space="preserve">Hearing</w:t>
      </w:r>
    </w:p>
    <w:p>
      <w:pPr>
        <w:jc w:val="both"/>
        <w:spacing w:before="100" w:after="100"/>
        <w:ind w:start="360"/>
        <w:ind w:firstLine="360"/>
      </w:pPr>
      <w:r>
        <w:rPr/>
      </w:r>
      <w:r>
        <w:rPr/>
      </w:r>
      <w:r>
        <w:t xml:space="preserve">Any prisoner for whom a written request for temporary custody has been received pursuant to </w:t>
      </w:r>
      <w:r>
        <w:t>Article IV</w:t>
      </w:r>
      <w:r>
        <w:t xml:space="preserve">, is entitled to a hearing in the Superior Court prior to his delivery in accordance with </w:t>
      </w:r>
      <w:r>
        <w:t>Article V</w:t>
      </w:r>
      <w:r>
        <w:t xml:space="preserve">.  The hearing shall be limited to the issue of whether there are reasonable grounds to believe the prisoner is in fact the person charged in the indictment, information or complaint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1983, c. 581,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§9636.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§9636.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§9636.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