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ADVISORY COUNCILS</w:t>
      </w:r>
    </w:p>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ADVISORY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ADVISORY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19. ADVISORY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