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Criminal background checks</w:t>
      </w:r>
    </w:p>
    <w:p>
      <w:pPr>
        <w:jc w:val="both"/>
        <w:spacing w:before="100" w:after="100"/>
        <w:ind w:start="360"/>
      </w:pPr>
      <w:r>
        <w:rPr>
          <w:b/>
        </w:rPr>
        <w:t>(REALLOCATED FROM TITLE 34-B, SECTION 1224)</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A facility or provider licensed under </w:t>
      </w:r>
      <w:r>
        <w:t>section 1203‑A</w:t>
      </w:r>
      <w:r>
        <w:t xml:space="preserve"> is subject to the employment restrictions set out in </w:t>
      </w:r>
      <w:r>
        <w:t>Title 22, section 1812‑G</w:t>
      </w:r>
      <w:r>
        <w:t xml:space="preserve"> and other applicable federal and state laws when employing direct access personnel, as defined in </w:t>
      </w:r>
      <w:r>
        <w:t>Title 22, section 1717, subsection 1, paragraph A‑2</w:t>
      </w:r>
      <w:r>
        <w:t xml:space="preserve">.  The facility or health care provider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494, Pt. A, §38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§94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2015, c. 196, §17 (AMD). PL 2015, c. 299, §28 (AMD). PL 2015, c. 494,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§1225.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§1225.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