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w:t>
        <w:t xml:space="preserve">.  </w:t>
      </w:r>
      <w:r>
        <w:rPr>
          <w:b/>
        </w:rPr>
        <w:t xml:space="preserve">Rules regarding cardiopulmonary resuscitation</w:t>
      </w:r>
    </w:p>
    <w:p>
      <w:pPr>
        <w:jc w:val="both"/>
        <w:spacing w:before="100" w:after="100"/>
        <w:ind w:start="360"/>
        <w:ind w:firstLine="360"/>
      </w:pPr>
      <w:r>
        <w:rPr/>
      </w:r>
      <w:r>
        <w:rPr/>
      </w:r>
      <w:r>
        <w:t xml:space="preserve">The department shall promulgate rules regarding the use of cardiopulmonary resuscitation in state institutions, pursuant to the Maine Administrative Procedure Act, </w:t>
      </w:r>
      <w:r>
        <w:t>Title 5, section 8053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305 (NEW). RR 2009, c. 2, §95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§1436. Rules regarding cardiopulmonary resuscitation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 Rules regarding cardiopulmonary resuscitation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§1436. RULES REGARDING CARDIOPULMONARY RESUSCITATION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