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§3867. Transfer from out-of-state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§3867. Transfer from out-of-state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§3867. TRANSFER FROM OUT-OF-STATE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