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5003-B</w:t>
        <w:t xml:space="preserve">.  </w:t>
      </w:r>
      <w:r>
        <w:rPr>
          <w:b/>
        </w:rPr>
        <w:t xml:space="preserve">Services across the lifespan</w:t>
      </w:r>
    </w:p>
    <w:p>
      <w:pPr>
        <w:jc w:val="both"/>
        <w:spacing w:before="100" w:after="100"/>
        <w:ind w:start="360"/>
        <w:ind w:firstLine="360"/>
      </w:pPr>
      <w:r>
        <w:rPr/>
      </w:r>
      <w:r>
        <w:rPr/>
      </w:r>
      <w:r>
        <w:t xml:space="preserve">The department shall facilitate the development of a home and community‑based waiver from the United States Department of Health and Human Services, Centers for Medicare and Medicaid Services that provides services for persons with intellectual and developmental disabilities, autism or other related conditions across the lifespan, including smooth transitions from childhood to adulthood. Upon federal approval, the department shall adopt rules to implement this section. Rules adopted pursuant to this section are major substantive rules as defined in </w:t>
      </w:r>
      <w:r>
        <w:t>Title 5, chapter 375, subchapter 2‑A</w:t>
      </w:r>
      <w:r>
        <w:t xml:space="preserve">, except that any subsequent amendments to those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LLLLL,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§5003-B. Services across the lifespan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§5003-B. Services across the lifespan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§5003-B. SERVICES ACROSS THE LIFESPAN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