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6242</w:t>
        <w:t xml:space="preserve">.  </w:t>
      </w:r>
      <w:r>
        <w:rPr>
          <w:b/>
        </w:rPr>
        <w:t xml:space="preserve">Nonlapsing funds</w:t>
      </w:r>
    </w:p>
    <w:p>
      <w:pPr>
        <w:jc w:val="both"/>
        <w:spacing w:before="100" w:after="100"/>
        <w:ind w:start="360"/>
        <w:ind w:firstLine="360"/>
      </w:pPr>
      <w:r>
        <w:rPr/>
      </w:r>
      <w:r>
        <w:rPr/>
      </w:r>
      <w:r>
        <w:t xml:space="preserve">Any unencumbered balance of General Fund appropriations remaining at the end of each fiscal year in the Mental Health Services - Child Medicaid account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665,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§N2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§6242. Nonlapsing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§6242. Nonlapsing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§6242. NONLAPSING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