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§9005. Escape--Article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Escape--Article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§9005. ESCAPE--ARTICLE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