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§9010. Compact administrators--Article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§9010. COMPACT ADMINISTRATORS--ARTICLE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