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76. INTERSTATE COMPACT ON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