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§10114. Training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§10114. Training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§10114. TRAINING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