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Climate requirements</w:t>
      </w:r>
    </w:p>
    <w:p>
      <w:pPr>
        <w:jc w:val="both"/>
        <w:spacing w:before="100" w:after="100"/>
        <w:ind w:start="360"/>
        <w:ind w:firstLine="360"/>
      </w:pPr>
      <w:r>
        <w:rPr/>
      </w:r>
      <w:r>
        <w:rPr/>
      </w:r>
      <w:r>
        <w:t xml:space="preserve">In executing its duties, powers and regulatory functions under this Title, the commission, while ensuring system reliability and resource adequacy, shall facilitate the achievement by the State of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§103-A. Climate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Climate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§103-A. CLIMATE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