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Enforcement of decisions</w:t>
      </w:r>
    </w:p>
    <w:p>
      <w:pPr>
        <w:jc w:val="both"/>
        <w:spacing w:before="100" w:after="100"/>
        <w:ind w:start="360"/>
        <w:ind w:firstLine="360"/>
      </w:pPr>
      <w:r>
        <w:rPr/>
      </w:r>
      <w:r>
        <w:rPr/>
      </w:r>
      <w:r>
        <w:t xml:space="preserve">Upon application of the commission or of the Attorney General, the Superior Court has full jurisdiction to enforce the commission's order and to enforce the public utilities' performance of the duties imposed on them by law, including the appointment of receivers, agents and special masters and providing them with adequate authority to carry the order of the courts and of the commission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Enforcement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Enforcement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§1307. ENFORCEMENT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