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Approval only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Approval only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§2105. APPROVAL ONLY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