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Gas utilities may lay pipelines</w:t>
      </w:r>
    </w:p>
    <w:p>
      <w:pPr>
        <w:jc w:val="both"/>
        <w:spacing w:before="100" w:after="100"/>
        <w:ind w:start="360"/>
        <w:ind w:firstLine="360"/>
      </w:pPr>
      <w:r>
        <w:rPr/>
      </w:r>
      <w:r>
        <w:rPr/>
      </w:r>
      <w:r>
        <w:t xml:space="preserve">Every gas utility organized under </w:t>
      </w:r>
      <w:r>
        <w:t>section 2101</w:t>
      </w:r>
      <w:r>
        <w:t xml:space="preserve"> for the purposes named in that section may lay its pipes in, along and under the roads and streets in any municipality in which it is authorized to supply gas, subject to the conditions and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state and state-aid highways maintained by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Gas utilities may lay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Gas utilities may lay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§2304. GAS UTILITIES MAY LAY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