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Penalties</w:t>
      </w:r>
    </w:p>
    <w:p>
      <w:pPr>
        <w:jc w:val="both"/>
        <w:spacing w:before="100" w:after="100"/>
        <w:ind w:start="360"/>
        <w:ind w:firstLine="360"/>
      </w:pPr>
      <w:r>
        <w:rPr/>
      </w:r>
      <w:r>
        <w:rPr/>
      </w:r>
      <w:r>
        <w:t xml:space="preserve">Any person who digs or makes an excavation in the paved portion of a street, road or highway without first obtaining a permit as required by </w:t>
      </w:r>
      <w:r>
        <w:t>section 2507</w:t>
      </w:r>
      <w:r>
        <w:t xml:space="preserve">, or who has obtained a permit and disturbs a greater area of surface than the permit specifies, commits a civil violation for which a forfeiture not to exceed $25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§2509.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§2509.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