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Relaying of pavement</w:t>
      </w:r>
    </w:p>
    <w:p>
      <w:pPr>
        <w:jc w:val="both"/>
        <w:spacing w:before="100" w:after="100"/>
        <w:ind w:start="360"/>
        <w:ind w:firstLine="360"/>
      </w:pPr>
      <w:r>
        <w:rPr/>
      </w:r>
      <w:r>
        <w:rPr/>
      </w:r>
      <w:r>
        <w:t xml:space="preserve">When an excavation is made in a paved street, road or highway and the opening is filled as required by </w:t>
      </w:r>
      <w:r>
        <w:t>sections 2511</w:t>
      </w:r>
      <w:r>
        <w:t xml:space="preserve"> and </w:t>
      </w:r>
      <w:r>
        <w:t>2512</w:t>
      </w:r>
      <w:r>
        <w:t xml:space="preserve">, the municipality or village corporation in which the opening was located shall relay the pavement unless the municipality or village corporation has entered into an agreement pursuant to </w:t>
      </w:r>
      <w:r>
        <w:t>Title 23, section 3357</w:t>
      </w:r>
      <w:r>
        <w:t xml:space="preserve"> requiring the permittee to relay the pavement.  If the municipality or village corporation relays the pavement, the cost of relaying the pavement, including materials, labor and inspection, must be paid out of any funds in the special fund for this purpose.</w:t>
      </w:r>
      <w:r>
        <w:t xml:space="preserve">  </w:t>
      </w:r>
      <w:r xmlns:wp="http://schemas.openxmlformats.org/drawingml/2010/wordprocessingDrawing" xmlns:w15="http://schemas.microsoft.com/office/word/2012/wordml">
        <w:rPr>
          <w:rFonts w:ascii="Arial" w:hAnsi="Arial" w:cs="Arial"/>
          <w:sz w:val="22"/>
          <w:szCs w:val="22"/>
        </w:rPr>
        <w:t xml:space="preserve">[PL 1999, c. 337,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337,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§2513. Relaying of pavement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Relaying of pavement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§2513. RELAYING OF PAVEMENT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