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Purchase of bonds and notes of bank</w:t>
      </w:r>
    </w:p>
    <w:p>
      <w:pPr>
        <w:jc w:val="both"/>
        <w:spacing w:before="100" w:after="100"/>
        <w:ind w:start="360"/>
        <w:ind w:firstLine="360"/>
      </w:pPr>
      <w:r>
        <w:rPr/>
      </w:r>
      <w:r>
        <w:rPr/>
      </w:r>
      <w:r>
        <w:t xml:space="preserve">The bank may purchase bonds or notes of the bank out of any funds or money of the bank available for that purpose.  The bank may hold, cancel or resell the bonds or notes subject to and in accordance with agreements with holders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§2913. Purchase of bonds and notes of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Purchase of bonds and notes of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§2913. PURCHASE OF BONDS AND NOTES OF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