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E. Net energy billing cos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E. Net energy billing cos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E. NET ENERGY BILLING COS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