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Sale of electricity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Sale of electricity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§3305. SALE OF ELECTRICITY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