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3495</w:t>
        <w:t xml:space="preserve">.  </w:t>
      </w:r>
      <w:r>
        <w:rPr>
          <w:b/>
        </w:rPr>
        <w:t xml:space="preserve">Standards</w:t>
      </w:r>
    </w:p>
    <w:p>
      <w:pPr>
        <w:jc w:val="both"/>
        <w:spacing w:before="100" w:after="100"/>
        <w:ind w:start="360"/>
        <w:ind w:firstLine="360"/>
      </w:pPr>
      <w:r>
        <w:rPr/>
      </w:r>
      <w:r>
        <w:rPr/>
      </w:r>
      <w:r>
        <w:t xml:space="preserve">An environmental permitting entity shall approve a decommissioning plan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Successful decommissioning.</w:t>
        <w:t xml:space="preserve"> </w:t>
      </w:r>
      <w:r>
        <w:t xml:space="preserve"> </w:t>
      </w:r>
      <w:r>
        <w:t xml:space="preserve">The plan, if implemented, will result in successful decommissioning of the solar energy development, including the restoration of farmland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Financial assurance.</w:t>
        <w:t xml:space="preserve"> </w:t>
      </w:r>
      <w:r>
        <w:t xml:space="preserve"> </w:t>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Update.</w:t>
        <w:t xml:space="preserve"> </w:t>
      </w:r>
      <w:r>
        <w:t xml:space="preserve"> </w:t>
      </w:r>
      <w:r>
        <w:t xml:space="preserve">The plan requires the financial assurance be updated 15 years after approval of the plan and no less frequently than every 5 years thereafter.  Updates to financial assurance required under this subsection must be submitted to the environmental permitting entity on or before December 31st of the year in which such updates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§3495.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§3495.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§3495.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