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battery storage system development, including but not limited to battery storage modules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  </w:t>
      </w:r>
    </w:p>
    <w:p>
      <w:pPr>
        <w:jc w:val="both"/>
        <w:spacing w:before="100" w:after="0"/>
        <w:ind w:start="360"/>
      </w:pPr>
      <w:r>
        <w:rPr/>
      </w:r>
      <w:r>
        <w:rPr/>
      </w:r>
      <w:r>
        <w:t xml:space="preserve">For any portion of a battery storage system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  </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Battery storage system.</w:t>
        <w:t xml:space="preserve"> </w:t>
      </w:r>
      <w:r>
        <w:t xml:space="preserve"> </w:t>
      </w:r>
      <w:r>
        <w:t xml:space="preserve">"Battery storage system" means a commercially available technology that uses chemical processes for absorbing energy and storing it for a period of time for use at a later time, including but not limited to lithium-ion batteries.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battery storage system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Maine Land Use Planning Commission in the case of a battery storage system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4</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Transfer of ownership.</w:t>
        <w:t xml:space="preserve"> </w:t>
      </w:r>
      <w:r>
        <w:t xml:space="preserve"> </w:t>
      </w:r>
      <w:r>
        <w:t xml:space="preserve">"Transfer of ownership" means a change in the legal entity that owns or operates a battery storage system development.  A sale or exchange of stock or membership interests or a merger is not a transfer of ownership as long as the legal entity that owns or operates the battery storage system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6</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