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3910</w:t>
        <w:t xml:space="preserve">.  </w:t>
      </w:r>
      <w:r>
        <w:rPr>
          <w:b/>
        </w:rPr>
        <w:t xml:space="preserve">Revenue obligation securities</w:t>
      </w:r>
    </w:p>
    <w:p>
      <w:pPr>
        <w:jc w:val="both"/>
        <w:spacing w:before="100" w:after="100"/>
        <w:ind w:start="360"/>
        <w:ind w:firstLine="360"/>
      </w:pPr>
      <w:r>
        <w:rPr/>
      </w:r>
      <w:r>
        <w:rPr/>
      </w:r>
      <w:r>
        <w:t xml:space="preserve">A district created under this chapter shall be deemed a municipality for purposes of </w:t>
      </w:r>
      <w:r>
        <w:t>Title 10, chapter 110, subchapter IV</w:t>
      </w:r>
      <w:r>
        <w:t xml:space="preserve">, with respect to a qualifying electric generating system, electric distribution system, or both.  The board of trustees are deemed to be municipal officers for purposes of that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§3910.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§3910.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§3910.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