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and the interest on them and the income from them, including any profit on their sale, and all activities of the agency and fees, charges, funds, revenues, incomes and other money of the agency,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agency is subject to taxes to the same extent as real and personal property owned by other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