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§4171. Annual reports;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§4171. ANNUAL REPORTS;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