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§6511. FAILURE TO APPLY FOR ASSESSMENT NOT A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