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§6704-A. NOTICE REQUIREMENTS FOR TAKING OF LAND FOR WATER TREATMENT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