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Condemnation proceedings by water utility</w:t>
      </w:r>
    </w:p>
    <w:p>
      <w:pPr>
        <w:jc w:val="both"/>
        <w:spacing w:before="100" w:after="100"/>
        <w:ind w:start="360"/>
        <w:ind w:firstLine="360"/>
      </w:pPr>
      <w:r>
        <w:rPr/>
      </w:r>
      <w:r>
        <w:rPr/>
      </w:r>
      <w:r>
        <w:t xml:space="preserve">Upon the commencement of condemnation proceedings, the utility seeking to acquire property, unless otherwise provided by law, may file a petition asking that the necessity of the taking be determined.  After the petition is filed, the proceedings shall be the same as in the case of a petition by the landowner.</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§6704. Condemnation proceedings by water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Condemnation proceedings by water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§6704. CONDEMNATION PROCEEDINGS BY WATER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