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261</w:t>
      </w:r>
    </w:p>
    <w:p>
      <w:pPr>
        <w:jc w:val="center"/>
        <w:ind w:start="360"/>
        <w:spacing w:before="300" w:after="300"/>
      </w:pPr>
      <w:r>
        <w:rPr>
          <w:b/>
        </w:rPr>
        <w:t xml:space="preserve">AQUEDUCTS AND WATER COMPANIES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§12 (AMD). PL 1987, c. 141, §A5 (RP). </w:t>
      </w:r>
    </w:p>
    <w:p>
      <w:pPr>
        <w:jc w:val="both"/>
        <w:spacing w:before="100" w:after="100"/>
        <w:ind w:start="1080" w:hanging="720"/>
      </w:pPr>
      <w:r>
        <w:rPr>
          <w:b/>
        </w:rPr>
        <w:t>§</w:t>
        <w:t>3206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3207</w:t>
        <w:t xml:space="preserve">.  </w:t>
      </w:r>
      <w:r>
        <w:rPr>
          <w:b/>
        </w:rPr>
        <w:t xml:space="preserve">Town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3211</w:t>
        <w:t xml:space="preserve">.  </w:t>
      </w:r>
      <w:r>
        <w:rPr>
          <w:b/>
        </w:rPr>
        <w:t xml:space="preserve">Authority for taxation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261. AQUEDUCTS AND WATER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261. AQUEDUCTS AND WATER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261. AQUEDUCTS AND WATER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