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465</w:t>
      </w:r>
    </w:p>
    <w:p>
      <w:pPr>
        <w:jc w:val="center"/>
        <w:ind w:start="360"/>
        <w:spacing w:before="300" w:after="300"/>
      </w:pPr>
      <w:r>
        <w:rPr>
          <w:b/>
        </w:rPr>
        <w:t xml:space="preserve">INDEXING OF MOTOR FUEL TAX RATES</w:t>
      </w:r>
    </w:p>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465. INDEXING OF MOTOR FUEL TAX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465. INDEXING OF MOTOR FUEL TAX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465. INDEXING OF MOTOR FUEL TAX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