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577</w:t>
      </w:r>
    </w:p>
    <w:p>
      <w:pPr>
        <w:jc w:val="center"/>
        <w:ind w:start="360"/>
        <w:spacing w:before="300" w:after="300"/>
      </w:pPr>
      <w:r>
        <w:rPr>
          <w:b/>
        </w:rPr>
        <w:t xml:space="preserve">MAINE ESTATE TAX AFTER 2012</w:t>
      </w:r>
    </w:p>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577. MAINE ESTATE TAX AFTER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577. MAINE ESTATE TAX AFTER 2012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577. MAINE ESTATE TAX AFTER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