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BLUEBERRY TAX</w:t>
      </w:r>
    </w:p>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701. BLUEBERRY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BLUEBERRY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701. BLUEBERRY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