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1077</w:t>
        <w:t xml:space="preserve">.  </w:t>
      </w:r>
      <w:r>
        <w:rPr>
          <w:b/>
        </w:rPr>
        <w:t xml:space="preserve">Purchaser's failure to pay in 20 days voids sale</w:t>
      </w:r>
    </w:p>
    <w:p>
      <w:pPr>
        <w:jc w:val="both"/>
        <w:spacing w:before="100" w:after="100"/>
        <w:ind w:start="360"/>
        <w:ind w:firstLine="360"/>
      </w:pPr>
      <w:r>
        <w:rPr/>
      </w:r>
      <w:r>
        <w:rPr/>
      </w:r>
      <w:r>
        <w:t xml:space="preserve">If the purchaser of real estate sold for taxes under </w:t>
      </w:r>
      <w:r>
        <w:t>section 1074</w:t>
      </w:r>
      <w:r>
        <w:t xml:space="preserve"> fails to pay the tax collector within 20 days after the sale of the amount bid by him, the sale shall be void, and the municipality in which such sale was made shall be deemed to be the purchaser of the real estate so sold, the same as if purchased by some one in behalf of the municipality under </w:t>
      </w:r>
      <w:r>
        <w:t>section 1082</w:t>
      </w:r>
      <w:r>
        <w:t xml:space="preserve">. If a municipality becomes a purchaser under this section, the deed to it shall set forth the fact that a sale was duly made, the amount bid for the real estate included in said deed, and that the purchaser failed to pay the amount bid within 20 days after the sale. The said deed shall confer upon said municipality the same rights and duties as if it had been the purchaser under </w:t>
      </w:r>
      <w:r>
        <w:t>section 1082</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§1077. Purchaser's failure to pay in 20 days voids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§1077. Purchaser's failure to pay in 20 days voids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§1077. PURCHASER'S FAILURE TO PAY IN 20 DAYS VOIDS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