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w:t>
        <w:t xml:space="preserve">.  </w:t>
      </w:r>
      <w:r>
        <w:rPr>
          <w:b/>
        </w:rPr>
        <w:t xml:space="preserve">Delivery of deed to purchaser after 2 years</w:t>
      </w:r>
    </w:p>
    <w:p>
      <w:pPr>
        <w:jc w:val="both"/>
        <w:spacing w:before="100" w:after="100"/>
        <w:ind w:start="360"/>
        <w:ind w:firstLine="360"/>
      </w:pPr>
      <w:r>
        <w:rPr/>
      </w:r>
      <w:r>
        <w:rPr/>
      </w:r>
      <w:r>
        <w:t xml:space="preserve">If the estate is not redeemed within the time specified by payment of the full amount required by this chapter, the municipal treasurer shall deliver to the purchaser the deeds lodged with him by the tax collector. If he willfully refuses to deliver such deed to said purchaser, on demand, after said 2 years and forfeiture of the land, he forfeits to said purchaser the full value of the property so to be conveyed, to be recovered in a civil action, with costs and interest as in other cases. The sureties of said treasurer shall make good the payment required in default of payment by the principal. On the failure of both, the municipality is liable.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§1080. Delivery of deed to purchaser after 2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 Delivery of deed to purchaser after 2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§1080. DELIVERY OF DEED TO PURCHASER AFTER 2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