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farmland and open space land in order to maintain a readily available source of food and farm products close to the metropolitan areas of the State to conserve the State's natural resources and to provide for the welfare and happiness of the inhabitants of the State, that it is in the public interest to prevent the forced conversion of farmland and open space land to more intensive uses as the result of economic pressures caused by the assessment thereof for purposes of property taxation at values incompatible with their preservation as such farmland and open space land, and that the necessity in the public interest of the enactment of this subchapter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