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Administration; regulations</w:t>
      </w:r>
    </w:p>
    <w:p>
      <w:pPr>
        <w:jc w:val="both"/>
        <w:spacing w:before="100" w:after="100"/>
        <w:ind w:start="360"/>
        <w:ind w:firstLine="360"/>
      </w:pPr>
      <w:r>
        <w:rPr/>
      </w:r>
      <w:r>
        <w:rPr/>
      </w:r>
      <w:r>
        <w:t xml:space="preserve">The State Tax Assessor shall adopt and amend such rules as may be reasonable and appropriate to carry out the State Tax Assessor's responsibilities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501,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§2A (RPR). PL 2019, c. 501,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§1104. Administration;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Administration;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§1104. ADMINISTRATION;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