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§1111. Scenic easements and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Scenic easements and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§1111. SCENIC EASEMENTS AND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