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§112-A. Agreements for transfer from another state agency of debt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§112-A. Agreements for transfer from another state agency of debt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§112-A. AGREEMENTS FOR TRANSFER FROM ANOTHER STATE AGENCY OF DEBT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