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working waterfront land and to prevent the conversion of working waterfront land to other uses as the result of economic pressures caused by the assessment of that land, for purposes of property taxation, at values incompatible with its use as working waterfront land and that the necessity in the public interest of the enactment of this subchapter in accordance with the Constitution of Maine, </w:t>
      </w:r>
      <w:r>
        <w:t>Article IX, Section 8</w:t>
      </w:r>
      <w:r>
        <w:t xml:space="preserve">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