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Working waterfront land used primarily as working waterfront land is eligible for a reduction of 10%.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§1135. Current use valuation of working waterfront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Current use valuation of working waterfront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§1135. CURRENT USE VALUATION OF WORKING WATERFRONT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