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§142. Cancellation and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Cancellation and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 CANCELLATION AND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