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§1491. False entry on renewal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False entry on renewal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§1491. FALSE ENTRY ON RENEWAL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