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1499-C</w:t>
        <w:t xml:space="preserve">.  </w:t>
      </w:r>
      <w:r>
        <w:rPr>
          <w:b/>
        </w:rPr>
        <w:t xml:space="preserve">Withdrawal from agreement</w:t>
      </w:r>
    </w:p>
    <w:p>
      <w:pPr>
        <w:jc w:val="both"/>
        <w:spacing w:before="100" w:after="100"/>
        <w:ind w:start="360"/>
        <w:ind w:firstLine="360"/>
      </w:pPr>
      <w:r>
        <w:rPr/>
      </w:r>
      <w:r>
        <w:rPr/>
      </w:r>
      <w:r>
        <w:t xml:space="preserve">Unless otherwise provided in any statute withdrawing this State from participation in the agreement, the Governor must be the officer to give notice of withdrawal therefrom.</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§1499-C. Withdrawal from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§1499-C. Withdrawal from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§1499-C. WITHDRAWAL FROM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