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Rulemaking</w:t>
      </w:r>
    </w:p>
    <w:p>
      <w:pPr>
        <w:jc w:val="both"/>
        <w:spacing w:before="100" w:after="100"/>
        <w:ind w:start="360"/>
        <w:ind w:firstLine="360"/>
      </w:pPr>
      <w:r>
        <w:rPr/>
      </w:r>
      <w:r>
        <w:rPr/>
      </w:r>
      <w:r>
        <w:t xml:space="preserve">After consultation with the Commissioner of Marine Resources, the Commissioner of Inland Fisheries and Wildlife and the Director of the Division of Licensing , Registration and Engineering within the Department of Inland Fisheries and Wildlife, the State Tax Assessor may adopt rules and establish  forms and procedures as  necessary for the efficient administration and enforcement of the excise tax  imposed by this chapter.  Rules adopted pursuant to this section are routine technical rules for the purposes of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496, §13 (AMD).]</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PL 1983, c. 819, §A60 (AMD). PL 1985, c. 726, §9 (AMD). PL 1987, c. 196, §10 (AMD). PL 1997, c. 526, §14 (AMD). PL 2009, c. 496,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§1506.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