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§151-A. ADDITIONAL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