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§1541. PUBLIC RESERVED LOTS HELD FOR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