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Payment of owner's interest; discharge</w:t>
      </w:r>
    </w:p>
    <w:p>
      <w:pPr>
        <w:jc w:val="both"/>
        <w:spacing w:before="100" w:after="100"/>
        <w:ind w:start="360"/>
        <w:ind w:firstLine="360"/>
      </w:pPr>
      <w:r>
        <w:rPr/>
      </w:r>
      <w:r>
        <w:rPr/>
      </w:r>
      <w:r>
        <w:t xml:space="preserve">Each owner of timber and grass so assessed may pay the part of the tax so assessed proportioned to his interest in any tract, whether in common or not; and shall receive from the State Tax Assessor a certificate, discharging the tax upon the interest upon which such payment is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§1542. Payment of owner's interest;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Payment of owner's interest;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§1542. PAYMENT OF OWNER'S INTEREST;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