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§1756. Voluntary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Voluntary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§1756. VOLUNTARY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