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194-D</w:t>
        <w:t xml:space="preserve">.  </w:t>
      </w:r>
      <w:r>
        <w:rPr>
          <w:b/>
        </w:rPr>
        <w:t xml:space="preserve">Background 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w:t>
      </w:r>
    </w:p>
    <w:p>
      <w:pPr>
        <w:jc w:val="both"/>
        <w:spacing w:before="100" w:after="0"/>
        <w:ind w:start="1080"/>
      </w:pPr>
      <w:r>
        <w:rPr/>
        <w:t>(</w:t>
        <w:t>2</w:t>
        <w:t xml:space="preserve">)  </w:t>
      </w:r>
      <w:r>
        <w:rPr/>
      </w:r>
      <w:r>
        <w:t xml:space="preserve">A contractor for the bureau, including the contractor's employees, subcontractors and subcontractors' employees, who provides or is assigned to provide services to the bureau under an identified contract;</w:t>
      </w:r>
    </w:p>
    <w:p>
      <w:pPr>
        <w:jc w:val="both"/>
        <w:spacing w:before="100" w:after="0"/>
        <w:ind w:start="1080"/>
      </w:pPr>
      <w:r>
        <w:rPr/>
        <w:t>(</w:t>
        <w:t>3</w:t>
        <w:t xml:space="preserve">)  </w:t>
      </w:r>
      <w:r>
        <w:rPr/>
      </w:r>
      <w:r>
        <w:t xml:space="preserve">A current employee of the bureau; or</w:t>
      </w:r>
    </w:p>
    <w:p>
      <w:pPr>
        <w:jc w:val="both"/>
        <w:spacing w:before="100" w:after="0"/>
        <w:ind w:start="1080"/>
      </w:pPr>
      <w:r>
        <w:rPr/>
        <w:t>(</w:t>
        <w:t>4</w:t>
        <w:t xml:space="preserve">)  </w:t>
      </w:r>
      <w:r>
        <w:rPr/>
      </w:r>
      <w:r>
        <w:t xml:space="preserve">An employee or contractor, including the contractor's respective employees, subcontractors and subcontractors' employees, of another state agency, if the assessor determines the employee's or contractor's duties involve access or the substantial possibility of access to federal tax information obtained from the bureau.</w:t>
      </w:r>
      <w:r>
        <w:t xml:space="preserve">  </w:t>
      </w:r>
      <w:r xmlns:wp="http://schemas.openxmlformats.org/drawingml/2010/wordprocessingDrawing" xmlns:w15="http://schemas.microsoft.com/office/word/2012/wordml">
        <w:rPr>
          <w:rFonts w:ascii="Arial" w:hAnsi="Arial" w:cs="Arial"/>
          <w:sz w:val="22"/>
          <w:szCs w:val="22"/>
        </w:rPr>
        <w:t xml:space="preserve">[PL 2019, c. 607, Pt. D, §2 (AMD).]</w:t>
      </w:r>
    </w:p>
    <w:p>
      <w:pPr>
        <w:jc w:val="both"/>
        <w:spacing w:before="100" w:after="0"/>
        <w:ind w:start="720"/>
      </w:pPr>
      <w:r>
        <w:rPr/>
        <w:t>B</w:t>
        <w:t xml:space="preserve">.  </w:t>
      </w:r>
      <w:r>
        <w:rPr/>
      </w:r>
      <w:r>
        <w:t xml:space="preserve">"Confidential tax information" means any information the inspection or disclosure of which is limited or prohibited by </w:t>
      </w:r>
      <w:r>
        <w:t>section 191</w:t>
      </w:r>
      <w:r>
        <w:t xml:space="preserve">, including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"Federal tax information" means a return and return information as defined in the Code, Section 6103(b) that is received directly from the United States Internal Revenue Service or obtained through a United States Internal Revenue Service-authorized secondary source and that is subject to the confidentiality protections and safeguarding requirements of the United States Internal Revenue Code and corresponding federal regulations and guidance. "Federal return information" does not include information in the possession of the State that is obtained from sources wholly independent from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"Identified contract" means a contract that the assessor determines involves access or the substantial possibility of access to the bureau's information technology systems or to confidential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607,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§§2, 3 (AMD).]</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assessor shall perform background investigations for affected persons in accordance with this subsection.</w:t>
      </w:r>
    </w:p>
    <w:p>
      <w:pPr>
        <w:jc w:val="both"/>
        <w:spacing w:before="100" w:after="0"/>
        <w:ind w:start="720"/>
      </w:pPr>
      <w:r>
        <w:rPr/>
        <w:t>A</w:t>
        <w:t xml:space="preserve">.  </w:t>
      </w:r>
      <w:r>
        <w:rPr/>
      </w:r>
      <w:r>
        <w:t xml:space="preserve">As part of the process of evaluating an affected person, except for a current employee of the bureau, for employment with the bureau, a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607, Pt. D, §4 (AMD).]</w:t>
      </w:r>
    </w:p>
    <w:p>
      <w:pPr>
        <w:jc w:val="both"/>
        <w:spacing w:before="100" w:after="0"/>
        <w:ind w:start="720"/>
      </w:pPr>
      <w:r>
        <w:rPr/>
        <w:t>B</w:t>
        <w:t xml:space="preserve">.  </w:t>
      </w:r>
      <w:r>
        <w:rPr/>
      </w:r>
      <w:r>
        <w:t xml:space="preserve">A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As part of the process of evaluating an affected person for continued employment with the bureau, a background investigation must be conducted at least once every 10 years.  If an affected person has not been subject to a background investigation within 10 years prior to the effective date of this section, a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A background investigation for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However, if the assessor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 is required under this subsection for the 10-year period commencing at the time of the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360"/>
      </w:pPr>
      <w:r>
        <w:rPr/>
      </w:r>
      <w:r>
        <w:rPr/>
      </w:r>
      <w:r>
        <w:t xml:space="preserve">The background investigation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§4 (AMD).]</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section.  The State Police shall take or cause to be taken the affected person's fingerprints and shall forward the fingerprints to the Department of Public Safety, Bureau of State Police, State Bureau of Identification so that the State Bureau of Identification can conduct state and national criminal history record checks for the bureau.  The State Police may charge the bureau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assessor pursuant to this section is confidential and not a public record as defined in </w:t>
      </w:r>
      <w:r>
        <w:t>Title 1, section 402, subsection 3</w:t>
      </w:r>
      <w:r>
        <w:t xml:space="preserve">.  The information must only be used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assessor shall review the information obtained under this section and determine whether an affected person has a disqualifying offense that would prohibit authorizing that individual from accessing confidential tax information or federal tax information.  If an affected person refuses to consent to the background investigation requirements under this section, that affected person is considered to have a disqualifying offense. If the affected person has a disqualifying offense:</w:t>
      </w:r>
    </w:p>
    <w:p>
      <w:pPr>
        <w:jc w:val="both"/>
        <w:spacing w:before="100" w:after="0"/>
        <w:ind w:start="720"/>
      </w:pPr>
      <w:r>
        <w:rPr/>
        <w:t>A</w:t>
        <w:t xml:space="preserve">.  </w:t>
      </w:r>
      <w:r>
        <w:rPr/>
      </w:r>
      <w:r>
        <w:t xml:space="preserve">The bureau may not employ or utilize that affected person in a position for which access to confidential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assessor has authorized the affected person to access confidential tax information, the bureau shall terminate that affected person's access and may remove that affected person from any position that involves access, or the substantial possibility of access, to confidential tax information.  If the affected person is an employee of the bureau, the bureau shall make a reasonable effort to retain that person as an employee in another position within the bureau that does not require access to confidential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If the affected person is an employee or contractor of another state agency, the assessor shall notify the other agency and the agency shall terminate the affected person's access, or substantial possibility of access, to federal tax information and may remove that affected person from any position that involves such access. If the affected person is an employee of the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 PL 2019, c. 607, Pt. D,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§194-D. Background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§194-D. Background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§194-D. BACKGROUND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