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1951-A</w:t>
        <w:t xml:space="preserve">.  </w:t>
      </w:r>
      <w:r>
        <w:rPr>
          <w:b/>
        </w:rPr>
        <w:t xml:space="preserve">Collection of tax; report to State Tax Assessor</w:t>
      </w:r>
    </w:p>
    <w:p>
      <w:pPr>
        <w:jc w:val="both"/>
        <w:spacing w:before="100" w:after="0"/>
        <w:ind w:start="360"/>
        <w:ind w:firstLine="360"/>
      </w:pPr>
      <w:r>
        <w:rPr>
          <w:b/>
        </w:rPr>
        <w:t>1</w:t>
        <w:t xml:space="preserve">.  </w:t>
      </w:r>
      <w:r>
        <w:rPr>
          <w:b/>
        </w:rPr>
        <w:t xml:space="preserve">Monthly report and payment.</w:t>
        <w:t xml:space="preserve"> </w:t>
      </w:r>
      <w:r>
        <w:t xml:space="preserve"> </w:t>
      </w:r>
      <w:r>
        <w:t xml:space="preserve">Every retailer shall file with the State Tax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by rule, may waive reporting nontaxable sales.   The assessor may for good cause extend for not more than 30 days the time for filing returns required under this Part.  Every person subject to the use tax shall file similar returns, at similar dates, and pay the tax or furnish a receipt for the tax from a registered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w:pPr>
        <w:jc w:val="both"/>
        <w:spacing w:before="100" w:after="0"/>
        <w:ind w:start="360"/>
        <w:ind w:firstLine="360"/>
      </w:pPr>
      <w:r>
        <w:rPr>
          <w:b/>
        </w:rPr>
        <w:t>2</w:t>
        <w:t xml:space="preserve">.  </w:t>
      </w:r>
      <w:r>
        <w:rPr>
          <w:b/>
        </w:rPr>
        <w:t xml:space="preserve">Estimated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471, §1 (RP).]</w:t>
      </w:r>
    </w:p>
    <w:p>
      <w:pPr>
        <w:jc w:val="both"/>
        <w:spacing w:before="100" w:after="0"/>
        <w:ind w:start="360"/>
        <w:ind w:firstLine="360"/>
      </w:pPr>
      <w:r>
        <w:rPr>
          <w:b/>
        </w:rPr>
        <w:t>3</w:t>
        <w:t xml:space="preserve">.  </w:t>
      </w:r>
      <w:r>
        <w:rPr>
          <w:b/>
        </w:rPr>
        <w:t xml:space="preserve">Reporting tax on casual rentals on individual income tax returns.</w:t>
        <w:t xml:space="preserve"> </w:t>
      </w:r>
      <w:r>
        <w:t xml:space="preserve"> </w:t>
      </w:r>
      <w:r>
        <w:t xml:space="preserve">An individual whose only sales tax collection responsibility under this Title is the collection of sales tax on casual rentals of living quarters pursuant to </w:t>
      </w:r>
      <w:r>
        <w:t>section 1764</w:t>
      </w:r>
      <w:r>
        <w:t xml:space="preserve"> and whose sales tax liability in connection with those rentals during the period of the individual’s income tax return is expected to be less than $2,000 may report and pay that sales tax on the  individual's Maine  income tax return for that year in lieu of filing  returns under </w:t>
      </w:r>
      <w:r>
        <w:t>subsection 1</w:t>
      </w:r>
      <w:r>
        <w:t xml:space="preserve">.   If the  individual's actual sales tax liability  in connection with those rentals is $2,000 or more for that year, the  individual must file  returns as required under </w:t>
      </w:r>
      <w:r>
        <w:t>subsection 1</w:t>
      </w:r>
      <w:r>
        <w:t xml:space="preserve"> during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§E24 (NEW). PL 1991, c. 780, §Q2 (AMD). PL 1991, c. 780, §Q4 (AFF). PL 1993, c. 395, §16 (AMD). PL 1999, c. 471, §1 (AMD). PL 2007, c. 438, §50 (AMD). PL 2007, c. 539, Pt. KKK, §1 (AMD). PL 2011, c. 285,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§1951-A. Collection of tax; report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§1951-A. Collection of tax; report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§1951-A. COLLECTION OF TAX; REPORT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